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91ED7" w14:textId="44F6DE8B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CE3C00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</w:t>
      </w:r>
      <w:r w:rsidR="000466C2" w:rsidRPr="000466C2">
        <w:rPr>
          <w:rFonts w:ascii="Corbel" w:eastAsia="Calibri" w:hAnsi="Corbel" w:cs="Times New Roman"/>
          <w:bCs/>
          <w:i/>
          <w:iCs/>
        </w:rPr>
        <w:t>61/2025</w:t>
      </w:r>
    </w:p>
    <w:p w14:paraId="01D10C54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BD2AD69" w14:textId="4C962261" w:rsidR="00EE6E64" w:rsidRPr="00EE6E64" w:rsidRDefault="00EE6E64" w:rsidP="6081F9D1">
      <w:pPr>
        <w:spacing w:after="0" w:line="240" w:lineRule="exact"/>
        <w:jc w:val="center"/>
        <w:rPr>
          <w:rFonts w:ascii="Corbel" w:eastAsia="Calibri" w:hAnsi="Corbel" w:cs="Times New Roman"/>
          <w:i/>
          <w:iCs/>
          <w:smallCap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="00A566D0" w:rsidRP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="00A566D0" w:rsidRP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6C536624" w14:textId="6B85665A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6081F9D1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4C209DB9" w:rsidRPr="6081F9D1">
        <w:rPr>
          <w:rFonts w:ascii="Corbel" w:eastAsia="Calibri" w:hAnsi="Corbel" w:cs="Times New Roman"/>
          <w:i/>
          <w:iCs/>
          <w:sz w:val="20"/>
          <w:szCs w:val="20"/>
        </w:rPr>
        <w:t xml:space="preserve"> </w:t>
      </w:r>
      <w:r w:rsidRPr="6081F9D1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6081F9D1">
        <w:rPr>
          <w:rFonts w:ascii="Corbel" w:eastAsia="Calibri" w:hAnsi="Corbel" w:cs="Times New Roman"/>
          <w:sz w:val="20"/>
          <w:szCs w:val="20"/>
        </w:rPr>
        <w:t>)</w:t>
      </w:r>
    </w:p>
    <w:p w14:paraId="5682717B" w14:textId="40BA45FF" w:rsidR="00EE6E64" w:rsidRPr="000D5BEE" w:rsidRDefault="00EE6E64" w:rsidP="6081F9D1">
      <w:pPr>
        <w:spacing w:after="0" w:line="240" w:lineRule="exact"/>
        <w:ind w:left="708"/>
        <w:jc w:val="both"/>
        <w:rPr>
          <w:rFonts w:ascii="Corbel" w:eastAsia="Calibri" w:hAnsi="Corbel" w:cs="Times New Roman"/>
          <w:b/>
          <w:bCs/>
          <w:sz w:val="24"/>
          <w:szCs w:val="24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0D5BEE">
        <w:rPr>
          <w:rFonts w:ascii="Corbel" w:eastAsia="Calibri" w:hAnsi="Corbel" w:cs="Times New Roman"/>
          <w:b/>
          <w:bCs/>
          <w:sz w:val="24"/>
          <w:szCs w:val="24"/>
        </w:rPr>
        <w:t xml:space="preserve">Rok </w:t>
      </w:r>
      <w:r w:rsidR="00A566D0" w:rsidRPr="000D5BEE">
        <w:rPr>
          <w:rFonts w:ascii="Corbel" w:eastAsia="Calibri" w:hAnsi="Corbel" w:cs="Times New Roman"/>
          <w:b/>
          <w:bCs/>
          <w:sz w:val="24"/>
          <w:szCs w:val="24"/>
        </w:rPr>
        <w:t>akademicki 202</w:t>
      </w:r>
      <w:r w:rsidR="000D5BEE">
        <w:rPr>
          <w:rFonts w:ascii="Corbel" w:eastAsia="Calibri" w:hAnsi="Corbel" w:cs="Times New Roman"/>
          <w:b/>
          <w:bCs/>
          <w:sz w:val="24"/>
          <w:szCs w:val="24"/>
        </w:rPr>
        <w:t>6</w:t>
      </w:r>
      <w:r w:rsidR="00A566D0" w:rsidRPr="000D5BEE">
        <w:rPr>
          <w:rFonts w:ascii="Corbel" w:eastAsia="Calibri" w:hAnsi="Corbel" w:cs="Times New Roman"/>
          <w:b/>
          <w:bCs/>
          <w:sz w:val="24"/>
          <w:szCs w:val="24"/>
        </w:rPr>
        <w:t>/202</w:t>
      </w:r>
      <w:r w:rsidR="000D5BEE">
        <w:rPr>
          <w:rFonts w:ascii="Corbel" w:eastAsia="Calibri" w:hAnsi="Corbel" w:cs="Times New Roman"/>
          <w:b/>
          <w:bCs/>
          <w:sz w:val="24"/>
          <w:szCs w:val="24"/>
        </w:rPr>
        <w:t>7</w:t>
      </w:r>
    </w:p>
    <w:p w14:paraId="6548660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57E2A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EE6E64" w:rsidRPr="00EE6E64" w14:paraId="20C42047" w14:textId="77777777" w:rsidTr="000466C2">
        <w:tc>
          <w:tcPr>
            <w:tcW w:w="4565" w:type="dxa"/>
            <w:vAlign w:val="center"/>
          </w:tcPr>
          <w:p w14:paraId="7440A1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6E6E83D3" w14:textId="77777777" w:rsidR="00EE6E64" w:rsidRPr="007806C7" w:rsidRDefault="00080F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Techniki badań rynku</w:t>
            </w:r>
          </w:p>
        </w:tc>
      </w:tr>
      <w:tr w:rsidR="00EE6E64" w:rsidRPr="00EE6E64" w14:paraId="24029060" w14:textId="77777777" w:rsidTr="000466C2">
        <w:tc>
          <w:tcPr>
            <w:tcW w:w="4565" w:type="dxa"/>
            <w:vAlign w:val="center"/>
          </w:tcPr>
          <w:p w14:paraId="1F17098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216" w:type="dxa"/>
            <w:vAlign w:val="center"/>
          </w:tcPr>
          <w:p w14:paraId="51D6442F" w14:textId="1AA4266C" w:rsidR="00EE6E64" w:rsidRPr="00EE6E64" w:rsidRDefault="00A96762" w:rsidP="00633E4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</w:t>
            </w:r>
            <w:r w:rsidR="00E319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[4]B_01</w:t>
            </w:r>
            <w:r w:rsidR="00490E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1A93510F" w14:textId="77777777" w:rsidTr="000466C2">
        <w:tc>
          <w:tcPr>
            <w:tcW w:w="4565" w:type="dxa"/>
            <w:vAlign w:val="center"/>
          </w:tcPr>
          <w:p w14:paraId="11696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216" w:type="dxa"/>
            <w:vAlign w:val="center"/>
          </w:tcPr>
          <w:p w14:paraId="13FE3711" w14:textId="65015D6B" w:rsidR="00EE6E64" w:rsidRPr="00EE6E64" w:rsidRDefault="000D5BE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CE3C00" w:rsidRPr="00CE3C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66A6857D" w14:textId="77777777" w:rsidTr="000466C2">
        <w:tc>
          <w:tcPr>
            <w:tcW w:w="4565" w:type="dxa"/>
            <w:vAlign w:val="center"/>
          </w:tcPr>
          <w:p w14:paraId="209963A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3791924E" w14:textId="08BD42FE" w:rsidR="00EE6E64" w:rsidRPr="00EE6E64" w:rsidRDefault="00914D88" w:rsidP="365740C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365740C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31DAE0BD" w14:textId="77777777" w:rsidTr="000466C2">
        <w:tc>
          <w:tcPr>
            <w:tcW w:w="4565" w:type="dxa"/>
            <w:vAlign w:val="center"/>
          </w:tcPr>
          <w:p w14:paraId="1D5BED5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6AAE0AA2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5F9F25E" w14:textId="77777777" w:rsidTr="000466C2">
        <w:tc>
          <w:tcPr>
            <w:tcW w:w="4565" w:type="dxa"/>
            <w:vAlign w:val="center"/>
          </w:tcPr>
          <w:p w14:paraId="34EC7E1D" w14:textId="77870E65" w:rsidR="00EE6E64" w:rsidRPr="00EE6E64" w:rsidRDefault="0037132A" w:rsidP="365740C0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365740C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EE6E64" w:rsidRPr="365740C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6FAEF500" w14:textId="77777777" w:rsidR="00EE6E64" w:rsidRPr="000D5BEE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41C435C" w14:textId="77777777" w:rsidTr="000466C2">
        <w:tc>
          <w:tcPr>
            <w:tcW w:w="4565" w:type="dxa"/>
            <w:vAlign w:val="center"/>
          </w:tcPr>
          <w:p w14:paraId="00D3D34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216" w:type="dxa"/>
            <w:vAlign w:val="center"/>
          </w:tcPr>
          <w:p w14:paraId="595BDC38" w14:textId="77777777" w:rsidR="00EE6E64" w:rsidRPr="000D5BEE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10AA53EC" w14:textId="77777777" w:rsidTr="000466C2">
        <w:tc>
          <w:tcPr>
            <w:tcW w:w="4565" w:type="dxa"/>
            <w:vAlign w:val="center"/>
          </w:tcPr>
          <w:p w14:paraId="3B50FEC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2D4A2641" w14:textId="69407BE2" w:rsidR="00EE6E64" w:rsidRPr="000D5BEE" w:rsidRDefault="00E319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CE3C00"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539E877E" w14:textId="77777777" w:rsidTr="000466C2">
        <w:tc>
          <w:tcPr>
            <w:tcW w:w="4565" w:type="dxa"/>
            <w:vAlign w:val="center"/>
          </w:tcPr>
          <w:p w14:paraId="7162431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216" w:type="dxa"/>
            <w:vAlign w:val="center"/>
          </w:tcPr>
          <w:p w14:paraId="61B40E89" w14:textId="5B72C392" w:rsidR="00EE6E64" w:rsidRPr="000D5BEE" w:rsidRDefault="000D5BE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</w:t>
            </w:r>
            <w:r w:rsidR="00CE3C00"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ok 2, semestr IV</w:t>
            </w:r>
          </w:p>
        </w:tc>
      </w:tr>
      <w:tr w:rsidR="00EE6E64" w:rsidRPr="00EE6E64" w14:paraId="667DDCA2" w14:textId="77777777" w:rsidTr="000466C2">
        <w:tc>
          <w:tcPr>
            <w:tcW w:w="4565" w:type="dxa"/>
            <w:vAlign w:val="center"/>
          </w:tcPr>
          <w:p w14:paraId="03C0D1E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1742532E" w14:textId="6483FF90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</w:t>
            </w:r>
          </w:p>
        </w:tc>
      </w:tr>
      <w:tr w:rsidR="00EE6E64" w:rsidRPr="00EE6E64" w14:paraId="78B69739" w14:textId="77777777" w:rsidTr="000466C2">
        <w:tc>
          <w:tcPr>
            <w:tcW w:w="4565" w:type="dxa"/>
            <w:vAlign w:val="center"/>
          </w:tcPr>
          <w:p w14:paraId="0586134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039EA89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603CB0A2" w14:textId="77777777" w:rsidTr="000466C2">
        <w:tc>
          <w:tcPr>
            <w:tcW w:w="4565" w:type="dxa"/>
            <w:vAlign w:val="center"/>
          </w:tcPr>
          <w:p w14:paraId="0FD454E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5FC9EAAC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A8615F3" w14:textId="77777777" w:rsidTr="000466C2">
        <w:tc>
          <w:tcPr>
            <w:tcW w:w="4565" w:type="dxa"/>
            <w:vAlign w:val="center"/>
          </w:tcPr>
          <w:p w14:paraId="1351232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2ABD482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504E8F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8691AF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33CAFD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A331F8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864"/>
        <w:gridCol w:w="963"/>
        <w:gridCol w:w="963"/>
        <w:gridCol w:w="963"/>
      </w:tblGrid>
      <w:tr w:rsidR="00EE6E64" w:rsidRPr="00EE6E64" w14:paraId="2633DC08" w14:textId="77777777" w:rsidTr="6081F9D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56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FE96E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100D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ADF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F3F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C09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79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3DDE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489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624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2B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01A3CBB" w14:textId="77777777" w:rsidTr="6081F9D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DF0C" w14:textId="77777777" w:rsidR="00EE6E64" w:rsidRPr="00EE6E64" w:rsidRDefault="00867901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56A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FD58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9EE" w14:textId="7185F1E5" w:rsidR="00EE6E64" w:rsidRPr="00EE6E64" w:rsidRDefault="00E3193D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  <w:r w:rsidR="00CE3C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6BCE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0D9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E11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57F7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9E1C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69EB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5EA6F7C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67BBC4C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D6A0A48" w14:textId="77777777" w:rsidR="00155DA7" w:rsidRDefault="00155DA7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13F37BE4" w14:textId="77777777" w:rsidR="00EE6E64" w:rsidRPr="00EE6E64" w:rsidRDefault="00867901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7EE489DB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208980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250E25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67901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8194DF1" w14:textId="77777777" w:rsidR="00155DA7" w:rsidRDefault="00155DA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69C84CB" w14:textId="77777777" w:rsidR="00EE6E64" w:rsidRPr="00EE6E64" w:rsidRDefault="0086790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D9F5A6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55C0886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DCFCB99" w14:textId="77777777" w:rsidR="00155DA7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279C457" w14:textId="77777777" w:rsidTr="00863FCD">
        <w:tc>
          <w:tcPr>
            <w:tcW w:w="9670" w:type="dxa"/>
          </w:tcPr>
          <w:p w14:paraId="36BFADC2" w14:textId="77777777" w:rsidR="00EE6E64" w:rsidRPr="00EE6E64" w:rsidRDefault="0086790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46E2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73BD689" w14:textId="40755959" w:rsidR="6081F9D1" w:rsidRDefault="6081F9D1">
      <w:r>
        <w:br w:type="page"/>
      </w:r>
    </w:p>
    <w:p w14:paraId="50F8E5F8" w14:textId="4BB0F696" w:rsidR="00EE6E64" w:rsidRPr="00EE6E64" w:rsidRDefault="00EE6E64" w:rsidP="6081F9D1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79B2B6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DD76E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92807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54EE995A" w14:textId="77777777" w:rsidTr="00862A0D">
        <w:tc>
          <w:tcPr>
            <w:tcW w:w="844" w:type="dxa"/>
            <w:vAlign w:val="center"/>
          </w:tcPr>
          <w:p w14:paraId="1FB4126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A3240D9" w14:textId="77777777" w:rsidR="00EE6E64" w:rsidRPr="00EE6E64" w:rsidRDefault="00A923EA" w:rsidP="00862A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923E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badań rynku na tle innych badań empirycznych, ich przesłankami, celami i użytecznością, podstawowymi metodami i technikami ich realizacji oraz </w:t>
            </w:r>
            <w:r w:rsidR="00862A0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wykorzystaniem rezultatów w praktyce</w:t>
            </w:r>
          </w:p>
        </w:tc>
      </w:tr>
    </w:tbl>
    <w:p w14:paraId="607DE75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920BFA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86676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5242FD9" w14:textId="77777777" w:rsidTr="00E5549E">
        <w:tc>
          <w:tcPr>
            <w:tcW w:w="1681" w:type="dxa"/>
            <w:vAlign w:val="center"/>
          </w:tcPr>
          <w:p w14:paraId="6DDF51E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B569BE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A6FC2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745EBB96" w14:textId="77777777" w:rsidTr="00E5549E">
        <w:tc>
          <w:tcPr>
            <w:tcW w:w="1681" w:type="dxa"/>
          </w:tcPr>
          <w:p w14:paraId="584C5CD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92891D" w14:textId="051C8A97" w:rsidR="00EE6E64" w:rsidRPr="00EE6E64" w:rsidRDefault="00903925" w:rsidP="00D926D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zna metody i narzędzia, w tym techniki pozyskiwania danych,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dla socjologii,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które umożliwiają opisywanie struktur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instytucji społecznych oraz procesów w nich i między nimi zachodzących</w:t>
            </w:r>
            <w:r w:rsidR="00490E48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04A2CB52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499C5C9C" w14:textId="77777777" w:rsidTr="008A224F">
        <w:trPr>
          <w:trHeight w:val="1692"/>
        </w:trPr>
        <w:tc>
          <w:tcPr>
            <w:tcW w:w="1681" w:type="dxa"/>
          </w:tcPr>
          <w:p w14:paraId="714F6F89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14:paraId="0F76D954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D7C170C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C8D15A7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B848FE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791112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4B80D2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1299E3F7" w14:textId="5CEBB955" w:rsidR="00903925" w:rsidRPr="008A224F" w:rsidRDefault="00521718" w:rsidP="00880960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wykorzystuje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wiedzę teoretyczną i pozyskuje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analizowania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szczegółowych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procesów i zjawisk społecznych 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źródła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i przebieg konkretnych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procesów i zjawisk społecznych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zewiduje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z wykorzystaniem standardowych metod i narzędzi 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socjologicznych. </w:t>
            </w:r>
          </w:p>
        </w:tc>
        <w:tc>
          <w:tcPr>
            <w:tcW w:w="1865" w:type="dxa"/>
          </w:tcPr>
          <w:p w14:paraId="34CB2EE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KU_02</w:t>
            </w:r>
          </w:p>
          <w:p w14:paraId="71D257C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KU_03</w:t>
            </w:r>
          </w:p>
          <w:p w14:paraId="2D7DAE81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</w:tc>
      </w:tr>
      <w:tr w:rsidR="00903925" w:rsidRPr="00EE6E64" w14:paraId="42AE18A5" w14:textId="77777777" w:rsidTr="00E5549E">
        <w:trPr>
          <w:trHeight w:val="900"/>
        </w:trPr>
        <w:tc>
          <w:tcPr>
            <w:tcW w:w="1681" w:type="dxa"/>
          </w:tcPr>
          <w:p w14:paraId="0E99AD08" w14:textId="77777777" w:rsidR="00903925" w:rsidRDefault="00B0148D" w:rsidP="009039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14:paraId="388FD603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0111FD39" w14:textId="2C86EC77" w:rsidR="00903925" w:rsidRDefault="00F81270" w:rsidP="00CC558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jest przygotowany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 xml:space="preserve"> do 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>uczestnictwa w przygotowaniu projektów społecznych (politycznych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 gospodarczych, obywatelskich) w zakresie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 xml:space="preserve"> badań rynku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 xml:space="preserve"> uwzględniając aspekty prawne, ekonomiczne i polityczne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A2C15CD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ED4702">
              <w:rPr>
                <w:rFonts w:ascii="Corbel" w:eastAsia="Calibri" w:hAnsi="Corbel" w:cs="Times New Roman"/>
                <w:sz w:val="24"/>
                <w:szCs w:val="24"/>
              </w:rPr>
              <w:t>K_03</w:t>
            </w:r>
          </w:p>
          <w:p w14:paraId="784D25BF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BF444B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4FDD57C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8F3D32F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CF98373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A906BF5" w14:textId="77777777" w:rsidTr="00155DA7">
        <w:tc>
          <w:tcPr>
            <w:tcW w:w="9520" w:type="dxa"/>
          </w:tcPr>
          <w:p w14:paraId="7B34904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49B9E0B" w14:textId="77777777" w:rsidTr="00155DA7">
        <w:tc>
          <w:tcPr>
            <w:tcW w:w="9520" w:type="dxa"/>
          </w:tcPr>
          <w:p w14:paraId="018A6043" w14:textId="57C29D7F" w:rsidR="00EE6E64" w:rsidRPr="00EE6E64" w:rsidRDefault="00155DA7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AB2366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DD7D28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591757C6" w14:textId="77777777" w:rsidR="00EE6E64" w:rsidRPr="00EE6E64" w:rsidRDefault="00EE6E64" w:rsidP="6081F9D1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17E7083" w14:textId="77777777" w:rsidTr="00A923EA">
        <w:tc>
          <w:tcPr>
            <w:tcW w:w="9520" w:type="dxa"/>
          </w:tcPr>
          <w:p w14:paraId="6F8F24AA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F77D1BC" w14:textId="77777777" w:rsidTr="00FD2D40">
        <w:trPr>
          <w:trHeight w:val="570"/>
        </w:trPr>
        <w:tc>
          <w:tcPr>
            <w:tcW w:w="9520" w:type="dxa"/>
          </w:tcPr>
          <w:p w14:paraId="4AAF3B03" w14:textId="77777777" w:rsidR="00A923EA" w:rsidRPr="00EE6E64" w:rsidRDefault="00A923EA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Istota i przedmiot badań rynkowych. Badania rynku a badania marketingowe. Badania rynku na tle innych badań empirycznych. </w:t>
            </w:r>
          </w:p>
        </w:tc>
      </w:tr>
      <w:tr w:rsidR="00FD2D40" w:rsidRPr="00EE6E64" w14:paraId="47322EED" w14:textId="77777777" w:rsidTr="00FD2D40">
        <w:trPr>
          <w:trHeight w:val="540"/>
        </w:trPr>
        <w:tc>
          <w:tcPr>
            <w:tcW w:w="9520" w:type="dxa"/>
          </w:tcPr>
          <w:p w14:paraId="72B5E57F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Rynek jako obiekt badań (kryteria podziału i rodzaje rynku, zjawiska i procesy rynkow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e, czynniki kształtujące rynek).</w:t>
            </w:r>
          </w:p>
        </w:tc>
      </w:tr>
      <w:tr w:rsidR="00FD2D40" w:rsidRPr="00EE6E64" w14:paraId="6B464E61" w14:textId="77777777" w:rsidTr="00FD2D40">
        <w:trPr>
          <w:trHeight w:val="330"/>
        </w:trPr>
        <w:tc>
          <w:tcPr>
            <w:tcW w:w="9520" w:type="dxa"/>
          </w:tcPr>
          <w:p w14:paraId="6B3F02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Metodyka badania rynku. Zadania i funkcje badań rynku. </w:t>
            </w:r>
          </w:p>
        </w:tc>
      </w:tr>
      <w:tr w:rsidR="00FD2D40" w:rsidRPr="00EE6E64" w14:paraId="46224E35" w14:textId="77777777" w:rsidTr="00FD2D40">
        <w:trPr>
          <w:trHeight w:val="563"/>
        </w:trPr>
        <w:tc>
          <w:tcPr>
            <w:tcW w:w="9520" w:type="dxa"/>
          </w:tcPr>
          <w:p w14:paraId="0339C64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Rodzaje badań, ich strategiczne cele i operatywna realizacja. </w:t>
            </w:r>
          </w:p>
          <w:p w14:paraId="5A77EF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Planowanie projektu badawczego.</w:t>
            </w:r>
          </w:p>
        </w:tc>
      </w:tr>
      <w:tr w:rsidR="00FD2D40" w:rsidRPr="00EE6E64" w14:paraId="1DBE4D79" w14:textId="77777777" w:rsidTr="00FD2D40">
        <w:trPr>
          <w:trHeight w:val="505"/>
        </w:trPr>
        <w:tc>
          <w:tcPr>
            <w:tcW w:w="9520" w:type="dxa"/>
          </w:tcPr>
          <w:p w14:paraId="2D1F1D9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Wtórne źródła informacji o rynku (pochodzenie informacji wtórnych, ich przygotowanie do analizy, analiza zawartości, zastosowanie informacji ze źródeł wtórnych w badaniach rynku). </w:t>
            </w:r>
          </w:p>
        </w:tc>
      </w:tr>
      <w:tr w:rsidR="00FD2D40" w:rsidRPr="00EE6E64" w14:paraId="5568E78A" w14:textId="77777777" w:rsidTr="00FD2D40">
        <w:trPr>
          <w:trHeight w:val="945"/>
        </w:trPr>
        <w:tc>
          <w:tcPr>
            <w:tcW w:w="9520" w:type="dxa"/>
          </w:tcPr>
          <w:p w14:paraId="28AECFDC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Pierwotne źródła informacji o rynku (pomiar źródeł pierwotnych, proces doboru próby badawczej, metody i techniki ilościowych i jakościowych badań rynku, przygotowanie infor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macji pierwotnych do analizy). </w:t>
            </w:r>
          </w:p>
        </w:tc>
      </w:tr>
      <w:tr w:rsidR="00FD2D40" w:rsidRPr="00EE6E64" w14:paraId="4B04EF9F" w14:textId="77777777" w:rsidTr="00FD2D40">
        <w:trPr>
          <w:trHeight w:val="555"/>
        </w:trPr>
        <w:tc>
          <w:tcPr>
            <w:tcW w:w="9520" w:type="dxa"/>
          </w:tcPr>
          <w:p w14:paraId="348770F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Metody analizy zjawisk i procesów rynkowych (metody diagnozowania rynku i jego elementów, metody progno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zowania rynku i jego elementów).</w:t>
            </w:r>
          </w:p>
        </w:tc>
      </w:tr>
      <w:tr w:rsidR="00FD2D40" w:rsidRPr="00EE6E64" w14:paraId="44D38CFD" w14:textId="77777777" w:rsidTr="00FD2D40">
        <w:trPr>
          <w:trHeight w:val="435"/>
        </w:trPr>
        <w:tc>
          <w:tcPr>
            <w:tcW w:w="9520" w:type="dxa"/>
          </w:tcPr>
          <w:p w14:paraId="17697C5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Badania rynkowe w przekroju przestrzennym, czasowym i stru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kturalnym – wybrane zagadnienia.</w:t>
            </w:r>
          </w:p>
        </w:tc>
      </w:tr>
      <w:tr w:rsidR="00FD2D40" w:rsidRPr="00EE6E64" w14:paraId="32A5330D" w14:textId="77777777" w:rsidTr="00FD2D40">
        <w:trPr>
          <w:trHeight w:val="687"/>
        </w:trPr>
        <w:tc>
          <w:tcPr>
            <w:tcW w:w="9520" w:type="dxa"/>
          </w:tcPr>
          <w:p w14:paraId="02D4A406" w14:textId="77777777" w:rsidR="00FD2D40" w:rsidRPr="00FD2D40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Etyka w badaniach rynku. Polskie standardy jakości badań rynku i opinii w terenie (Program Kontroli 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kości Pracy Ankieterów – PKJPA).</w:t>
            </w:r>
          </w:p>
        </w:tc>
      </w:tr>
    </w:tbl>
    <w:p w14:paraId="06A44E6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604CE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17366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33ABBDB" w14:textId="77777777" w:rsidR="00EE6E64" w:rsidRPr="00EE6E64" w:rsidRDefault="00A75840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A75840"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0F4599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C0D4F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59EA2EE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1DD4C0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1BA21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76"/>
        <w:gridCol w:w="2121"/>
      </w:tblGrid>
      <w:tr w:rsidR="00EE6E64" w:rsidRPr="00EE6E64" w14:paraId="51C1DB7C" w14:textId="77777777" w:rsidTr="00AE320B">
        <w:tc>
          <w:tcPr>
            <w:tcW w:w="1843" w:type="dxa"/>
            <w:vAlign w:val="center"/>
          </w:tcPr>
          <w:p w14:paraId="4C98830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1E6C9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DD2008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B091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149A81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EE6E64" w:rsidRPr="00EE6E64" w14:paraId="28EFDA11" w14:textId="77777777" w:rsidTr="00AE320B">
        <w:tc>
          <w:tcPr>
            <w:tcW w:w="1843" w:type="dxa"/>
          </w:tcPr>
          <w:p w14:paraId="150E042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14:paraId="55C33446" w14:textId="77777777" w:rsidR="00EE6E64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3CB939EC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5313CB91" w14:textId="77777777" w:rsidTr="00AE320B">
        <w:trPr>
          <w:trHeight w:val="270"/>
        </w:trPr>
        <w:tc>
          <w:tcPr>
            <w:tcW w:w="1843" w:type="dxa"/>
          </w:tcPr>
          <w:p w14:paraId="148D9505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0" w:type="dxa"/>
          </w:tcPr>
          <w:p w14:paraId="169AA84D" w14:textId="77777777" w:rsidR="00612021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46375063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612021" w:rsidRPr="00EE6E64" w14:paraId="2703DCD0" w14:textId="77777777" w:rsidTr="00AE320B">
        <w:trPr>
          <w:trHeight w:val="315"/>
        </w:trPr>
        <w:tc>
          <w:tcPr>
            <w:tcW w:w="1843" w:type="dxa"/>
          </w:tcPr>
          <w:p w14:paraId="39755F34" w14:textId="77777777" w:rsidR="00612021" w:rsidRPr="00EE6E64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0" w:type="dxa"/>
          </w:tcPr>
          <w:p w14:paraId="66D22C73" w14:textId="77777777" w:rsidR="00612021" w:rsidRDefault="00612021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120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28001A76" w14:textId="77777777" w:rsidR="00612021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5A3AD70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57FB9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05C883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1B31516" w14:textId="77777777" w:rsidTr="00863FCD">
        <w:tc>
          <w:tcPr>
            <w:tcW w:w="9670" w:type="dxa"/>
          </w:tcPr>
          <w:p w14:paraId="68E3233C" w14:textId="77777777" w:rsidR="00CF3344" w:rsidRPr="00CF3344" w:rsidRDefault="00CF3344" w:rsidP="00CF334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CCBB2E6" w14:textId="77777777" w:rsidR="00EE6E64" w:rsidRDefault="00CF334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266A8E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5D9B164B" w14:textId="77777777" w:rsidR="00266A8E" w:rsidRPr="00EE6E64" w:rsidRDefault="00266A8E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E3CBE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6B5926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47D51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772C47AB" w14:textId="77777777" w:rsidTr="00863FCD">
        <w:tc>
          <w:tcPr>
            <w:tcW w:w="4962" w:type="dxa"/>
            <w:vAlign w:val="center"/>
          </w:tcPr>
          <w:p w14:paraId="6EC73F87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DD0C4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02310A9E" w14:textId="77777777" w:rsidTr="00863FCD">
        <w:tc>
          <w:tcPr>
            <w:tcW w:w="4962" w:type="dxa"/>
          </w:tcPr>
          <w:p w14:paraId="78C66986" w14:textId="307C9DD1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ECB2400" w14:textId="556C7A3C" w:rsidR="00EE6E64" w:rsidRPr="00EE6E64" w:rsidRDefault="00E3193D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CF334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6059D26B" w14:textId="77777777" w:rsidTr="00863FCD">
        <w:tc>
          <w:tcPr>
            <w:tcW w:w="4962" w:type="dxa"/>
          </w:tcPr>
          <w:p w14:paraId="2E70F13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DE1BB92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E5A78F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01537208" w14:textId="77777777" w:rsidTr="00863FCD">
        <w:tc>
          <w:tcPr>
            <w:tcW w:w="4962" w:type="dxa"/>
          </w:tcPr>
          <w:p w14:paraId="70EA38E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0605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969EB5" w14:textId="5D8CCBC6" w:rsidR="00EE6E64" w:rsidRPr="00EE6E64" w:rsidRDefault="00E3193D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CF3344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EE6E64" w:rsidRPr="00EE6E64" w14:paraId="1519F711" w14:textId="77777777" w:rsidTr="00863FCD">
        <w:tc>
          <w:tcPr>
            <w:tcW w:w="4962" w:type="dxa"/>
          </w:tcPr>
          <w:p w14:paraId="794A3C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EF945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19C01384" w14:textId="77777777" w:rsidTr="00863FCD">
        <w:tc>
          <w:tcPr>
            <w:tcW w:w="4962" w:type="dxa"/>
          </w:tcPr>
          <w:p w14:paraId="2028028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F57CC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78B97E2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F297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E516C9" w14:textId="0DFE2453" w:rsidR="00EE6E64" w:rsidRPr="00EE6E64" w:rsidRDefault="00EE6E64" w:rsidP="6081F9D1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z w:val="24"/>
          <w:szCs w:val="24"/>
        </w:rPr>
        <w:lastRenderedPageBreak/>
        <w:t>6. PRAKTYKI ZAWODOWE W RAMACH PRZEDMIOTU</w:t>
      </w:r>
    </w:p>
    <w:p w14:paraId="13A802D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369D783B" w14:textId="77777777" w:rsidTr="007131C2">
        <w:trPr>
          <w:trHeight w:val="397"/>
        </w:trPr>
        <w:tc>
          <w:tcPr>
            <w:tcW w:w="3544" w:type="dxa"/>
          </w:tcPr>
          <w:p w14:paraId="2F8212F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ED9FD" w14:textId="74FDC119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55773F59" w14:textId="77777777" w:rsidTr="007131C2">
        <w:trPr>
          <w:trHeight w:val="397"/>
        </w:trPr>
        <w:tc>
          <w:tcPr>
            <w:tcW w:w="3544" w:type="dxa"/>
          </w:tcPr>
          <w:p w14:paraId="521A4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37B713" w14:textId="0987969D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AC6254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E91F1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FE52F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5"/>
      </w:tblGrid>
      <w:tr w:rsidR="00EE6E64" w:rsidRPr="00EE6E64" w14:paraId="2EC0413C" w14:textId="77777777" w:rsidTr="6081F9D1">
        <w:trPr>
          <w:trHeight w:val="397"/>
        </w:trPr>
        <w:tc>
          <w:tcPr>
            <w:tcW w:w="9405" w:type="dxa"/>
          </w:tcPr>
          <w:p w14:paraId="566DCC9A" w14:textId="77777777" w:rsidR="00A923EA" w:rsidRDefault="00EE6E6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</w:t>
            </w:r>
            <w:r w:rsidR="00A923EA"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a:</w:t>
            </w:r>
          </w:p>
          <w:p w14:paraId="18325C2B" w14:textId="77777777" w:rsidR="007131C2" w:rsidRPr="007131C2" w:rsidRDefault="007131C2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4D4F20C9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Izabella Anuszewska,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rynkowe po polsku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FA9ADFC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Krystyna 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Mazurek-Łopacińska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(red.),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marketingowe. Metody, techniki i obszary aplikacji na współczesnym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2016.</w:t>
            </w:r>
          </w:p>
          <w:p w14:paraId="5B849D1F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Zofia Kędzior,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Metody, zastosowania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2005.</w:t>
            </w:r>
          </w:p>
          <w:p w14:paraId="098CA2C7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Mynarski,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</w:t>
            </w:r>
            <w:r w:rsidR="00AC7758"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ia rynkowe w przedsiębiorstwie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, Kraków 2001.</w:t>
            </w:r>
          </w:p>
          <w:p w14:paraId="734D7113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Dietmar Pfaff,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Jak pozyskiwać najistotniejsze dla firmy informacje marketingowe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2010.</w:t>
            </w:r>
          </w:p>
          <w:p w14:paraId="7CF7DC5C" w14:textId="77777777" w:rsidR="00EE6E64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Mynarski (red.),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Badanie konkurencji i konkurencyjności przedsiębiorstw i produktów na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2007.</w:t>
            </w:r>
          </w:p>
          <w:p w14:paraId="4BCDBC5E" w14:textId="77777777" w:rsidR="00A923EA" w:rsidRPr="00EE6E64" w:rsidRDefault="00A923EA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5B73FEC3" w14:textId="77777777" w:rsidTr="6081F9D1">
        <w:trPr>
          <w:trHeight w:val="397"/>
        </w:trPr>
        <w:tc>
          <w:tcPr>
            <w:tcW w:w="9405" w:type="dxa"/>
          </w:tcPr>
          <w:p w14:paraId="20936188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0E5F9E4A" w14:textId="77777777" w:rsidR="007131C2" w:rsidRPr="007131C2" w:rsidRDefault="007131C2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511163DD" w14:textId="77777777" w:rsid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Paul Hague, Nick Hague, Carol-Ann Morgan,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w praktyce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Gliwice 2005.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2330FDBD" w14:textId="77777777" w:rsidR="00460954" w:rsidRPr="00A923EA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enryk Mruk (red.),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46095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Analiza rynku: praca zbiorowa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2003.</w:t>
            </w:r>
          </w:p>
          <w:p w14:paraId="2982F714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Halina Zadora,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Przegląd metod analizy rynku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Katowice 1995.</w:t>
            </w:r>
          </w:p>
          <w:p w14:paraId="204D95AE" w14:textId="77777777" w:rsidR="00A923EA" w:rsidRPr="00EE6E64" w:rsidRDefault="00A923EA" w:rsidP="00AC7758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Józefa Kramer (red.),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i marketingowe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1994.</w:t>
            </w:r>
          </w:p>
        </w:tc>
      </w:tr>
    </w:tbl>
    <w:p w14:paraId="0C0174C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EE9CC6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A52C07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3AF6309" w14:textId="77777777" w:rsidR="009B16CF" w:rsidRDefault="009B16CF"/>
    <w:sectPr w:rsidR="009B16CF" w:rsidSect="00155DA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08F8C" w14:textId="77777777" w:rsidR="00033719" w:rsidRDefault="00033719" w:rsidP="00EE6E64">
      <w:pPr>
        <w:spacing w:after="0" w:line="240" w:lineRule="auto"/>
      </w:pPr>
      <w:r>
        <w:separator/>
      </w:r>
    </w:p>
  </w:endnote>
  <w:endnote w:type="continuationSeparator" w:id="0">
    <w:p w14:paraId="2E09727E" w14:textId="77777777" w:rsidR="00033719" w:rsidRDefault="00033719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ECCEF" w14:textId="77777777" w:rsidR="00033719" w:rsidRDefault="00033719" w:rsidP="00EE6E64">
      <w:pPr>
        <w:spacing w:after="0" w:line="240" w:lineRule="auto"/>
      </w:pPr>
      <w:r>
        <w:separator/>
      </w:r>
    </w:p>
  </w:footnote>
  <w:footnote w:type="continuationSeparator" w:id="0">
    <w:p w14:paraId="5ED8E9BA" w14:textId="77777777" w:rsidR="00033719" w:rsidRDefault="00033719" w:rsidP="00EE6E64">
      <w:pPr>
        <w:spacing w:after="0" w:line="240" w:lineRule="auto"/>
      </w:pPr>
      <w:r>
        <w:continuationSeparator/>
      </w:r>
    </w:p>
  </w:footnote>
  <w:footnote w:id="1">
    <w:p w14:paraId="0C23F798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16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3719"/>
    <w:rsid w:val="000344D9"/>
    <w:rsid w:val="000466C2"/>
    <w:rsid w:val="00080F45"/>
    <w:rsid w:val="00092B15"/>
    <w:rsid w:val="000D5BEE"/>
    <w:rsid w:val="00152A39"/>
    <w:rsid w:val="00155DA7"/>
    <w:rsid w:val="00266A8E"/>
    <w:rsid w:val="002B1ED3"/>
    <w:rsid w:val="002B4C64"/>
    <w:rsid w:val="002E0C86"/>
    <w:rsid w:val="0030749D"/>
    <w:rsid w:val="00317BBC"/>
    <w:rsid w:val="00357EEE"/>
    <w:rsid w:val="0037132A"/>
    <w:rsid w:val="003E5F77"/>
    <w:rsid w:val="0040076B"/>
    <w:rsid w:val="00402F60"/>
    <w:rsid w:val="004061D0"/>
    <w:rsid w:val="00442D06"/>
    <w:rsid w:val="00460954"/>
    <w:rsid w:val="00490E48"/>
    <w:rsid w:val="004B5E90"/>
    <w:rsid w:val="00515464"/>
    <w:rsid w:val="00521718"/>
    <w:rsid w:val="005318E3"/>
    <w:rsid w:val="00581E37"/>
    <w:rsid w:val="00606E87"/>
    <w:rsid w:val="00612021"/>
    <w:rsid w:val="00633E45"/>
    <w:rsid w:val="00640FE1"/>
    <w:rsid w:val="006F0C79"/>
    <w:rsid w:val="007131C2"/>
    <w:rsid w:val="00755929"/>
    <w:rsid w:val="0075651B"/>
    <w:rsid w:val="007806C7"/>
    <w:rsid w:val="007E0B2C"/>
    <w:rsid w:val="008037B1"/>
    <w:rsid w:val="00805A0C"/>
    <w:rsid w:val="008368D8"/>
    <w:rsid w:val="00862A0D"/>
    <w:rsid w:val="00867901"/>
    <w:rsid w:val="00880960"/>
    <w:rsid w:val="008875BB"/>
    <w:rsid w:val="008A224F"/>
    <w:rsid w:val="00903925"/>
    <w:rsid w:val="00914D88"/>
    <w:rsid w:val="009B16CF"/>
    <w:rsid w:val="00A566D0"/>
    <w:rsid w:val="00A75840"/>
    <w:rsid w:val="00A923EA"/>
    <w:rsid w:val="00A96762"/>
    <w:rsid w:val="00AC7758"/>
    <w:rsid w:val="00AE320B"/>
    <w:rsid w:val="00B0148D"/>
    <w:rsid w:val="00B0605A"/>
    <w:rsid w:val="00B36E0F"/>
    <w:rsid w:val="00B65A2D"/>
    <w:rsid w:val="00C4308C"/>
    <w:rsid w:val="00C63BBD"/>
    <w:rsid w:val="00C7388E"/>
    <w:rsid w:val="00CB67B7"/>
    <w:rsid w:val="00CC5583"/>
    <w:rsid w:val="00CE3C00"/>
    <w:rsid w:val="00CF3344"/>
    <w:rsid w:val="00D0328C"/>
    <w:rsid w:val="00D926D3"/>
    <w:rsid w:val="00DA2FA8"/>
    <w:rsid w:val="00E22ABE"/>
    <w:rsid w:val="00E3193D"/>
    <w:rsid w:val="00E32857"/>
    <w:rsid w:val="00E5549E"/>
    <w:rsid w:val="00ED0A7E"/>
    <w:rsid w:val="00ED4702"/>
    <w:rsid w:val="00EE6313"/>
    <w:rsid w:val="00EE6E64"/>
    <w:rsid w:val="00F81270"/>
    <w:rsid w:val="00FB742C"/>
    <w:rsid w:val="00FD2D40"/>
    <w:rsid w:val="0D641367"/>
    <w:rsid w:val="169A9BAB"/>
    <w:rsid w:val="1C2BF5E0"/>
    <w:rsid w:val="27637C88"/>
    <w:rsid w:val="365740C0"/>
    <w:rsid w:val="37A14F28"/>
    <w:rsid w:val="3B789F0B"/>
    <w:rsid w:val="447E6796"/>
    <w:rsid w:val="4A353E8D"/>
    <w:rsid w:val="4C209DB9"/>
    <w:rsid w:val="5225DDF8"/>
    <w:rsid w:val="55E7C251"/>
    <w:rsid w:val="6081F9D1"/>
    <w:rsid w:val="64B676E2"/>
    <w:rsid w:val="6F6C9E81"/>
    <w:rsid w:val="703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1C2C"/>
  <w15:docId w15:val="{4D1ED36E-59F2-45A3-87FB-9FBAFFF4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5510</Characters>
  <Application>Microsoft Office Word</Application>
  <DocSecurity>0</DocSecurity>
  <Lines>45</Lines>
  <Paragraphs>12</Paragraphs>
  <ScaleCrop>false</ScaleCrop>
  <Company>Acer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26</cp:revision>
  <dcterms:created xsi:type="dcterms:W3CDTF">2020-10-26T16:33:00Z</dcterms:created>
  <dcterms:modified xsi:type="dcterms:W3CDTF">2025-11-05T15:13:00Z</dcterms:modified>
</cp:coreProperties>
</file>